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96667" w14:textId="25C88C95" w:rsidR="00FF0274" w:rsidRPr="00CE4E76" w:rsidRDefault="00FF0274" w:rsidP="00FF0274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- 24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Capítulo VIII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Práticas particulares desta devoção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                                     </w:t>
      </w:r>
      <w:r w:rsidRPr="007B6030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Práticas exteriores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226. Se bem que o essencial desta devoção consista no interior, ela conta também práticas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exteriores que é preciso não negligenciar: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“haec oportuit facere et illa non omittere”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(Mt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23, 23); tanto porque as práticas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exteriores bem feitas ajudam </w:t>
      </w:r>
      <w:proofErr w:type="gramStart"/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 interiores</w:t>
      </w:r>
      <w:proofErr w:type="gramEnd"/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como porque relembram ao homem, que se conduz sempre pelos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sentidos, o que fez ou deve fazer; também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porque são próprias para edificar o próximo que as vê, o que já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acontece com as práticas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puramente interiores. Nenhum mundano, portanto, critique, nem meta aqui o nariz,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dizendo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a verdadeira devoção está no coração, que é preciso evitar exterioridades, que nisto pode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haver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vaidade, que é preferível ocultar </w:t>
      </w:r>
      <w:proofErr w:type="gramStart"/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cada um sua devoção</w:t>
      </w:r>
      <w:proofErr w:type="gramEnd"/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etc. Respondo-lhes com meu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Mestre: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“assim brilhe a vossa luz diante dos homens, para que vejam as vossas boas obras e glorifiquem vosso Pai que está nos céus”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(Mt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5, 16). Não quer isto dizer, como observa 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Gregório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83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que devamos fazer nossas ações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devoções exteriores para agradar os homens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daí tirar louvores, o que seria vaidade; mas fazê-las às vezes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diante dos homens, com o fito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agradar a Deus e glorificá-lo, sem, preocupar-nos com o desprezo ou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louvores dos homens.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Citarei apenas abreviadamente algumas práticas exteriores, que não qualifico de exteriores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porque sejam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feitas sem interior, mas porque contêm qualquer exterioridade, e para distingui-las das que são estritamente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interiores.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I. Consagração depois de exercícios preparatórios.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227. Primeira prática. Aqueles e aquelas que quiserem adotar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devoção, que não está erigida em confraria,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seria de desejar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84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depois de ter, como já disse na primeira parte desta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preparação ao reino de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85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empregando ao menos doze dias em desapegar-se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espírito do mundo, contrário ao de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Cristo, dedicarão três semanas a encher-se de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 por intermédio da Santíssima Virgem. Eis a ordem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observar: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E381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83 Homil. II in Evangel.</w:t>
      </w:r>
      <w:r w:rsidRPr="00DE381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84 Os votos de S. Luís Maria de Montfort se realizaram. Sua querida devoção está ereta em Arquiconfraria, cujos membros, já numerosos, se multiplicam dum modo extraordinário.</w:t>
      </w:r>
      <w:r w:rsidRPr="00DE381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85 Estas palavras de S. Luís Maria parecem aludir a outra obra que teria servido de introdução a esta, como por exemplo: 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“l’amour de la Sagesse éternelle”</w:t>
      </w:r>
      <w:r w:rsidRPr="00DE381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(Cf. cap. VII e XVI).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228. Durante a primeira semana aplicarão todas as orações e atos de piedade para pedir o conhecimento de si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mesmo e a contrição por seus pecados. Tudo farão em espírito de humildade.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Para isso poderão, se quiserem, meditar sobre o que ficou dito sobre o nosso fundo de maldade (V. acima n. 78 e seguintes), e considerar-se, nos seis dias desta semana, como uma lesma,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sapo, um porco,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serpente, um bode; ou, então, estas três palavras de São Bernardo: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ogita quid fueris, semen putridum; quid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sis, vas stercorum; quid futurus sis, esca verminum”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86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Pedirão a Nosso Senhor e a seu Espírito Santo que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esclareça, dizendo: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“Domine,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ut videam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”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87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; ou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“Noverim me”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88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; ou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“Veni, Sancte Spiritus”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e dirão todos os dias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ladainha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Espírito Santo e a oração que segue. Recorrerão à Santíssima Virgem e lhe pedirão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á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graça que deve ser o fundamento das outras, e para isso recitarão todos os dias o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“Ave,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Maris Stella”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 as ladainhas.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229. Durante a segunda semana, aplicar-se-ão em todas as suas orações e obras cotidianas,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conhecer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Santíssima Virgem. Implorarão este conhecimento ao Espírito Santo. Poderão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ler e meditar o que já dissemos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respeito. Recitarão, como na primeira semana, as ladainhas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do Espírito Santo, o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“Ave, Maris Stella”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e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rosário todos os dias, ou pelo menos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terço, nesta intenção.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230. A terceira semana será empregada em conhecer Jesus Cristo. Poderão ler e meditar 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dissemos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neste sentido, e recitar a oração de santo Agostinho, inserida no número 67. Poderão, com o mesmo santo,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dizer e repetir centenas de vezes por dia: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“Noverim te: Senhor, que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eu vos conheça”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, ou então: Domine, ut videam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Senhor, 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fazei que eu veja quem sois”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nas semanas precedentes, recitarão as ladainhas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Espírito Santo e o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“Ave, Maris Stella”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ajuntando as ladainhas do Santíssimo nome de Jesus.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231. Ao fim destas três semanas, confessar-se-ão e comungarão na intenção de se darem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 Cristo na condição de escravos por amor, pelas mãos de Maria. E depois da comunhão,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cuidarão de fazer conforme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método que segue (v. n. 266), recitarão a fórmula de consagração, que se encontra também adiante (v. p.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280); será necessário que a escrevam ou mandem escrever, se não estiver impressa, e a assinem no mesmo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dia em que a fizerem.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232. Nesse dia, será bom renderem algum tributo a Jesus Cristo e a sua Mãe Santíssima, seja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penitência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infidelidade passada às promessas do batismo, seja em sinal de sua dependência do domínio de Jesus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Maria. Ora, esse tributo será conforme a devoção e capacidade de cada um: um jejum, uma mortificação,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esmola, um círio. Ainda que não deem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que um alfinete em homenagem, contanto que o deem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bom coração, é o bastante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Jesus, que só olha a boa vontade.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86 Pensa no que fostes: um pouco de lodo; no que és: 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vaso de escórias; no que serás: pasto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de vermes”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(São Bernardo, inter opera: Meditação sobre o conhecimento da condição humana).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87 “Senhor, fazei que eu veja” (Lc 18, 41).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88 Santo Agostinho: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q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ue eu me conheça”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233. Todos os anos, ao menos, no mesmo dia, renovarão a consagração, observando as mesmas práticas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durante três semanas.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Poderão até todos os meses e, quiçá, todos os dias, renovar, com as poucas palavras seguintes, tudo 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fizerem: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t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uus totus ego sum, et omnia mea tua sunt 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-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Sou todo vosso e tudo</w:t>
      </w:r>
      <w:r w:rsidRPr="00DE381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 que tenho vos pertence”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ó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meu amável Jesus, por Maria, vossa Mãe Santíssima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89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´.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§ II. Recitação </w:t>
      </w:r>
      <w:proofErr w:type="gramStart"/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coroinha</w:t>
      </w:r>
      <w:proofErr w:type="gramEnd"/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da Santíssima Virgem.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234. Segunda prática. Recitarão todos os dias de sua vida, sem, entretanto, nenhum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Constran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gimento,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coroinha da Santíssima Virgem, composta de três Pai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-Nossos e doze Ave-Marias,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honra dos doze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privilégios e grandezas da Santíssima Virgem. Esta prática é muito antiga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tem seu fundamento na Sagrada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Escritura. São João viu uma mulher coroada de doze estrelas, vestida do sol e tendo a lua debaixo de seus pés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(Ap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12, 1) e esta mulher, na opinião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intérpretes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90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é a Santíssima Virgem.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235. Há muitos modos de rezar bem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coroinha e seria demasiado longo mencioná-los.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Espírito Santo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inspirará àqueles e àquelas que mais fiéis se mostrarem a esta devoção.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Para rezá-la bem simplesmente é preciso dizer em primeiro lugar: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CF62A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ignare me laudare te,</w:t>
      </w:r>
      <w:r w:rsidRPr="00CF62A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Virgo sacrata; da</w:t>
      </w:r>
      <w:r w:rsidRPr="00CF62A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mihi virtutem contra hostes tuos”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91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; em seguida, reza-se o credo, depois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Pai-Nosso, quatro Ave-Marias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Glória ao Pai; ainda um Pai-Nosso, quatro Ave-Marias,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Glória ao Pai; e assim por diante. Ao terminar,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diz-se</w:t>
      </w:r>
      <w:proofErr w:type="spellEnd"/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CF62A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ub tuum praesidium”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III. Usar pequenas cadeias de ferro.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236. Terceira prática. É muito louvável, glorioso e útil àqueles e àquelas que assim demonstrarão ser escravos de Jesus em Maria, trazer, como sinal de sua amorosa escravidão, pequenas cadeias de ferro, bentas com uma bênção especial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92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Estas demonstrações exteriores não são na verdade, essenciais, e uma pessoa pode bem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dispensar,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embora tenha abraçado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devoção. Não posso, contudo, esquivar-me a louvar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aqueles e aquelas que,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depois de terem rompido as cadeias vergonhosas da escravidão do demônio, a que os tinha arrastado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pecado original, e talvez os pecados atuais, se entregaram</w:t>
      </w:r>
      <w:r w:rsidRPr="00CF62A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voluntariamente à gloriosa escravidão</w:t>
      </w:r>
      <w:r w:rsidRPr="00CF62A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89 Os membros da Arquiconfraria de Maria, Rainha dos corações, ganham uma indulgência de 300 dias todas as vezes que renovarem sua consagração, pelas palavras: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</w:t>
      </w:r>
      <w:r w:rsidRPr="00CF62AB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s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ou todo</w:t>
      </w:r>
      <w:r w:rsidRPr="00CF62AB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vosso, e tudo que possuo vos ofereço, ó meu amado Jesus, por Maria, vossa Mãe Santíssima”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90 Entre outros, S. Agostinho (Tratct. De Symbolo ad Catechumenos, 1. IV, cap. I); S.</w:t>
      </w:r>
      <w:r w:rsidRPr="00CF62A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Bernardo (Sermo super “Signum Magnum”, n. 3).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91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“Fazei-me digno de vos louvar, ó Virgem sagrada, e dai-me força contra os vossos</w:t>
      </w:r>
      <w:r w:rsidRPr="00CF62AB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inimigos”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92 Poder-se-ia crer que certos decretos das Congregações Romanas tenham proibido terminantemente o uso</w:t>
      </w:r>
      <w:r w:rsidRPr="00CF62A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dessas pequenas cadeias. Nada vemos, contudo, nesses decretos que</w:t>
      </w:r>
      <w:r w:rsidRPr="00CF62A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interdite esta prática símbolo da</w:t>
      </w:r>
      <w:r w:rsidRPr="00CF62A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escravidão a Jesus em Maria, no que consiste propriamente a</w:t>
      </w:r>
      <w:r w:rsidRPr="00CF62A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devoção do B. Montfort (V. Analecta Iuris</w:t>
      </w:r>
      <w:r w:rsidRPr="00CF62A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Pontificii, 1ª série, col. 757).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 e com S. Paulo se gloriam de estar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acorrentados por Jesus Cristo (cf. Ef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3, 1), com correntes que,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embora de ferro e sem brilho,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são mais gloriosas e mais preciosas que todos os colares de ouro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imperadores.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237. Nos tempos de outrora era a cruz o que havia de mais infamante; hoje, no entanto,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símbolo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glorioso do cristianismo. Digamos o mesmo dos ferros da escravidão. Nada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havia de mais ignominioso entre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os antigos, e ainda atualmente entre os pagãos. Entre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cristãos, porém, são mais ilustres, pois elas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livram e preservam dos liames vergonhosos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pecado e do demônio; elas nos restituem a liberdade e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ligam a Jesus e Maria, não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contragosto e a força, como a forçados, mas por caridade, por amor, como filhos: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t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raham eos</w:t>
      </w:r>
      <w:r w:rsidRPr="00CF62A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in vinculis caritatis”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11, 4)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eu os atrairei a mim, diz Deus pela boca do profeta, com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vínculos da caridade, que, por consequência, são fortes como a morte (cf. Ct 8, 6), e, de certo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modo,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fortes naqueles que fielmente trouxeram, até a morte, esses distintivos gloriosos.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Pois a morte, destruindo-lhes embora o corpo e reduzindo-o à podridão, não destruirá as algemas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escravidão, as quais por serem de ferro, não se corrompem tão facilmente. E, 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dia da ressurreição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corpos, no juízo final, quem sabe, essas cadeias, pendentes ainda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seus ossos, não virão a constituir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parte de seus ossos, não virão a constituir uma parte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glória, mudando-se em cadeias de luz e de glória?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Felizes, portanto, mil vezes felizes os escravos ilustres de Jesus em Maria, que até ao túmulo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usarem essas cadeias!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238. Eis os motivos por que se usam estas cadeiazinhas: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1º Relembram ao cristão os votos e compromissos do batismo, a renovação perfeita das promessas batismais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ele fez por esta devoção, e a estrita obrigação em que está de se conservar fiel. O homem, porque se deixa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levar mais pelos sentidos do que pela fé pura, esquece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facilmente suas obrigações para com Deus, se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tiver algo que lhas traga à memória.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isso estas pequenas cadeias servem para lembrar ao cristão aquelas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cadeias do pecado e da escravidão do demônio, de que o santo batismo o livrou, e a dependência que, neste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sacramento,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votou a Jesus Cristo, e a ratificação dessa dependência, feita ao renovar os seus votos; e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motivos por que tão poucos cristãos pensam nas promessas do santo batismo, e vivem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tanta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libertinagem como se nada houvessem prometido a Deus, como se fossem pagãos,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não trazerem nenhuma marca ou distintivo exterior que disso os relembre.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239. 2º Mostra que ele não se envergonha de ser escravo e servo de Jesus Cristo, e que renunciou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escravidão funesta do mundo, do pecado e do demônio. 3º Garantem-no e preservam-no dos grilhões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pecado e do demônio, pois, ou estaremos agrilhoados pelas correntes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inimigo, ou traremos as cadeias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caridade e da salvação: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v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incula peccatorum; in vinculis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caritatis”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240. Ah! querido irmão, despedacemos os grilhões do pecado e dos pecadores, do mundo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mundanos,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do demônio e de seus asseclas, e lancemos longe de nós seu jugo funesto: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irumpamus vincula eorum et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proiiciamus a nobis iugum ipsorum”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(Sl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2, 3). Metamos nossos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pés, para servir-nos das palavras do Espírito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Santo, em seus ferros gloriosos e nosso pescoço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em suas cadeias: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niice pedem tuum in compedes illius, e in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torques illius collum tuum”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(Ecli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6, 25). Curvemos os ombros e carreguemos a Sabedoria, que é Jesus Cristo,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 não nos enfademos de suas correntes: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s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ubiice humerum tuum et porta illam, et ne acedieris vinculis eius”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(Ecli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6, 26). Notareis que o Espírito Santo, antes de dizer estas palavras, prepara a alma, a fim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que ela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rejeite o importante conselho. Eis as suas palavras: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proofErr w:type="spellStart"/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udi</w:t>
      </w:r>
      <w:proofErr w:type="spellEnd"/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fili, et accipe consilium intellectus, et ne abiicias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consilium meum 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-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Ouve, filho, e recebe uma sábia advertência,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 não rejeites o meu conselho”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(Ecli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6, 24).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241. Permiti, caríssimo amigo, que me uma aqui ao Espírito Santo, para dar-vos o mesmo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conselho: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v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incula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illius, alligatura salutaris”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(Ecli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6, 31) – Suas cadeias são cadeias de salvação. Jesus pendente da cruz deve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atrair tudo a si, e tudo, de bom ou mau grado, será atraído.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Do mesmo modo ele atrairá os réprobos pelas correntes de seus pecados, para acorrentá-los,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forçados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demônios, à sua ira eterna e à sua justiça vingadora. Nos últimos tempos,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porém, atrairá especialmente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predestinados, pelas cadeias da caridade: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mnia grahan ad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meipsum”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12, 32).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“Trahan eos in vinculis</w:t>
      </w:r>
      <w:r w:rsidRPr="003D01A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caritatis”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11, 4).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242. Esses amorosos escravos de Jesus Cristo ou acorrentados de Jesus Cristo,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“vincti Christi”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(Ef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3, 1), podem usar suas cadeias ou ao pescoço ou no braço, ou na cintura, ou nos pés.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P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adre Vicente Caraffa,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sétimo geral da Companhia de Jesus, falecido em odor de santidade 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ano 1643, usava, como sinal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servidão, um círculo de ferro nos pés, e dizia que lamentava não poder arrastar publicamente os grilhões.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madre Inês de Jesus, a quem já nos referimos (n. 170), trazia sempre uma corrente de ferro na cintura. Outros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usaram ao pescoço,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penitência pelos colares de pérola que costumam usar no mundo.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Outros a usaram no braço, para se lembrarem, no trabalho manual, que eram escravos de Jesus Cristo.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IV. Devoção especial ao mistério da Encarnação.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243. Quarta prática. Terão uma devoção especial pelo mistério da Encarnação do Verbo, a 25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março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93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que é o mistério adequado a esta devoção, pois que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devoção foi inspirada pelo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Espírito Santo: 1º para honrar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imitar a dependência em que Deus Filho quis estar de Maria,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glória de Deus seu Pai e para nossa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salvação; dependência que transparece particularmente neste mistério em que Jesus se torna cativo e escravo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 seio de Maria Santíssima, aí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dependendo dela em tudo; 2º para agradecer a Deus as graças incomparáveis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concedeu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Maria, principalmente por tê-la escolhido para sua Mãe digníssima, escolha feita neste mistério. São estes os dois fins principais da escravização a Jesus Cristo em Maria.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244. Peço-vos notar que digo ordinariamente: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“o escravo de Jesus em Maria, a escravização Jesus em Maria”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Pode-se, é verdade, dizer como muitos já o disseram até aqui,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“o escravo</w:t>
      </w:r>
      <w:r w:rsidRPr="00F02E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de Maria, a escravidão da Santíssima Virgem”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Creio, porém, que é melhor dizer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“escravo de</w:t>
      </w:r>
      <w:r w:rsidRPr="00F02E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Jesus em Maria”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como aconselhava M. Tronson,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superior geral do seminário de S. Sulpício,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qual era conhecido por sua rara prudência e grande piedade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93 No dia 25 de março, todos os membros da Arquiconfraria de Maria, Rainha dos corações, podem ganhar uma indulgência plenária.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</w:t>
      </w:r>
    </w:p>
    <w:p w14:paraId="476A2FD8" w14:textId="77777777" w:rsidR="00FF0274" w:rsidRPr="00CE4E76" w:rsidRDefault="00FF0274" w:rsidP="00FF027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Assim aconselhou ele a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eclesiástico que o consultou sobre o assunto. As razões são estas: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245. 1º Visto estarmos num século orgulhoso, em que pululam os sábios enfatuados, os espíritos fortes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críticos, que sempre acham o que falar das mais sólidas e bem estabelecidas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práticas de piedade, é preferível,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para evitar-lhes ocasião de crítica desnecessária, dizer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“escravidão de Jesus em Maria”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 dizer-se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“escravo de Jesus Cristo”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do que escravo de Maria.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Assim a denominação desta devoção será dada antes pelo caminho e meio para atingir este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fim,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Santíssima. Pode-se, entretanto, usar uma ou outra sem o menor escrúpulo,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eu faço. Um homem,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exemplo, que vai de Orleans a Tours pelo caminho de Amboise,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pode evidentemente dizer que vai a Amboise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vai a Tours. A única diferença é que Amboise é apenas o caminho para ir a Tours e Tours é o fim, o termo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sua viagem.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br/>
        <w:t>246. Como o principal mistério que se celebra e honra nesta devoção é o mistério da Encarnação, no qual só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pode contemplar Jesus em Maria, e encarnado em seu seio, é mais adequado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dizer-se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 escravidão de</w:t>
      </w:r>
      <w:r w:rsidRPr="00F02E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Jesus em Maria”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de Jesus residindo e reinando em Maria, conforme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a bela oração de tantos homens célebres: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F02E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ó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Jesus vivendo em Maria, vinde e vivei em nós,</w:t>
      </w:r>
      <w:r w:rsidRPr="00F02E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em vosso espírito de santidade”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etc.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247. 3º Este modo de falar patenteia ainda mais a união íntima entre Jesus e Maria. Tão intimamente estão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unidos que um é tudo no outro: Jesus é tudo em Maria e Maria é tudo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Jesus; ou, melhor, ela já não existe,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mas Jesus somente nela, e antes se separaria do sol a luz,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que apartar Maria de Jesus. É assim que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pode chamar Nosso Senhor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“Jesus de Maria”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e a Santíssima Virgem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“Maria de Jesus”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248. O tempo não me permite deter-me aqui para explicar as excelências e as grandezas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mistério de Jesus vivendo e reinando em Maria, ou a Encarnação do Verbo. Contento-me,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isso, em dizer, em três palavras, que é este o primeiro mistério de Jesus Cristo, o mais oculto,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mais elevado e o menos conhecido; que é neste mistério que Jesus, em colaboração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Maria, em seu seio, e por isto chamado pelos santos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“aula sacramentorum”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sala dos segredos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Deus</w:t>
      </w:r>
      <w:r w:rsidRPr="00CE4E7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94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escolheu todos os eleitos; que foi neste mistério que ele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operou todos os mistérios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subsequentes de sua vida, pela aceitação deles: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“Iesus ingrediens mundum dicit: Ecce venio</w:t>
      </w:r>
      <w:r w:rsidRPr="00F02EB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ut faciam, Deus, voluntatem tuam”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(Hb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10, 5- 9).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Por conseguinte, este mistério é um resumo de todos os mistérios, e contém a vontade e a graça de todos. Este mistério é, enfim, o trono da misericórdia, da liberdade e da glória de Deus.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 trono da misericórdia de Deus, porque, já que não podemos aproximar-nos de Jesus senão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por Maria, não podemos ver Jesus nem </w:t>
      </w:r>
      <w:proofErr w:type="gramStart"/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falar-lhe</w:t>
      </w:r>
      <w:proofErr w:type="gramEnd"/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senão por intermédio de Maria. Jesus atende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sempre a sua querida Mãe e concede sempre sua graça e sua misericórdia aos pobres pecadores: </w:t>
      </w:r>
      <w:r w:rsidRPr="00511B1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“adeamus ergo cum fiducia ad thronum gratiae - Cheguemo-nos, pois, confiadamente, ao trono da graça”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(Hb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4, 16). É o trono de sua liberalidade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Maira, porque este novo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Adão, enquanto permaneceu nesse verdadeiro paraíso terrestre, aí realizou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ocultamente tantas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maravilhas que nem os anjos nem os homens as compreendem; por isso os santos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chamaram</w:t>
      </w:r>
      <w:r w:rsidRPr="00511B1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a magnificência de Deus: “Magnificentia Dei”95, como se Deus só fosse magnífico em</w:t>
      </w:r>
      <w:r w:rsidRPr="00511B1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-------------------------------------------------------------------------------------------------------------------------------------------------------------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511B1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94 S. Ambrósio: De Instit. Virg., cap. VII, n. 50.</w:t>
      </w:r>
    </w:p>
    <w:p w14:paraId="4FBA54AC" w14:textId="77777777" w:rsidR="000D5494" w:rsidRDefault="00FF0274" w:rsidP="00FF0274"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511B1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“Solummodo ibi magnificus Dominus”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33, 21). É o trono de sua glória para seu Pai,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pois foi em Maria que Jesus Cristo acalmou perfeitamente seu Pai irritado contra os homens;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ele recuperou perfeitamente a glória que o pecado lhe tinha arrebatado, e que, pelo sacrifício, que neste mistério fez da sua vontade e de si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mesmo, lhe deu mais glória como jamais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lhe deram todos os sacrifícios da antiga lei, e, finalmente, lhe deu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glória infinita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ainda não recebera de criatura humana.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74"/>
    <w:rsid w:val="000D5494"/>
    <w:rsid w:val="00C660CD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6644"/>
  <w15:chartTrackingRefBased/>
  <w15:docId w15:val="{623F88DB-2058-4842-A86A-BE70660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3119</Words>
  <Characters>16847</Characters>
  <Application>Microsoft Office Word</Application>
  <DocSecurity>0</DocSecurity>
  <Lines>140</Lines>
  <Paragraphs>39</Paragraphs>
  <ScaleCrop>false</ScaleCrop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2022-05-19T14:23:00Z</dcterms:created>
  <dcterms:modified xsi:type="dcterms:W3CDTF">2022-05-19T14:24:00Z</dcterms:modified>
</cp:coreProperties>
</file>