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C91C0" w14:textId="28C22A2E" w:rsidR="00446598" w:rsidRPr="004621E1" w:rsidRDefault="00446598" w:rsidP="00446598">
      <w:pP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hAnsi="Arial Narrow"/>
          <w:b/>
          <w:bCs/>
          <w:sz w:val="24"/>
          <w:szCs w:val="24"/>
        </w:rPr>
        <w:t>Aula - 19</w:t>
      </w:r>
      <w:r>
        <w:rPr>
          <w:rFonts w:ascii="Arial Narrow" w:hAnsi="Arial Narrow"/>
          <w:b/>
          <w:bCs/>
          <w:sz w:val="24"/>
          <w:szCs w:val="24"/>
        </w:rPr>
        <w:br/>
      </w:r>
      <w:r>
        <w:rPr>
          <w:rFonts w:ascii="Arial Narrow" w:hAnsi="Arial Narrow"/>
          <w:b/>
          <w:bCs/>
          <w:sz w:val="24"/>
          <w:szCs w:val="24"/>
        </w:rPr>
        <w:br/>
        <w:t xml:space="preserve">                                                                                       </w:t>
      </w:r>
      <w:r w:rsidRPr="00DF1CD5">
        <w:rPr>
          <w:rFonts w:ascii="Arial Narrow" w:hAnsi="Arial Narrow"/>
          <w:b/>
          <w:bCs/>
          <w:sz w:val="24"/>
          <w:szCs w:val="24"/>
        </w:rPr>
        <w:t>Artigo VI</w:t>
      </w:r>
      <w:r w:rsidRPr="00DF1CD5">
        <w:rPr>
          <w:rFonts w:ascii="Arial Narrow" w:hAnsi="Arial Narrow"/>
          <w:b/>
          <w:bCs/>
          <w:sz w:val="24"/>
          <w:szCs w:val="24"/>
        </w:rPr>
        <w:br/>
      </w:r>
      <w:r>
        <w:rPr>
          <w:rFonts w:ascii="Arial Narrow" w:hAnsi="Arial Narrow"/>
          <w:b/>
          <w:bCs/>
          <w:sz w:val="24"/>
          <w:szCs w:val="24"/>
        </w:rPr>
        <w:br/>
        <w:t xml:space="preserve">                                                     </w:t>
      </w:r>
      <w:r w:rsidRPr="00DF1CD5">
        <w:rPr>
          <w:rFonts w:ascii="Arial Narrow" w:hAnsi="Arial Narrow"/>
          <w:b/>
          <w:bCs/>
          <w:sz w:val="24"/>
          <w:szCs w:val="24"/>
        </w:rPr>
        <w:t>Esta devoção dá uma grande liberdade interior</w:t>
      </w:r>
      <w:r>
        <w:rPr>
          <w:rFonts w:ascii="Arial Narrow" w:hAnsi="Arial Narrow"/>
          <w:b/>
          <w:bCs/>
          <w:sz w:val="24"/>
          <w:szCs w:val="24"/>
        </w:rPr>
        <w:br/>
      </w:r>
      <w:r>
        <w:rPr>
          <w:rFonts w:ascii="Arial Narrow" w:hAnsi="Arial Narrow"/>
          <w:b/>
          <w:bCs/>
          <w:sz w:val="24"/>
          <w:szCs w:val="24"/>
        </w:rPr>
        <w:br/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169. Sexto motivo. Esta prática de devoção dá, às pessoas que a praticam fielmente, uma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grande liberdade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interior, que é a liberdade dos filhos de Deus (cf. Rm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8,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21). Visto que,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esta devoção, nos tornamos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escravos de Jesus Cristo, consagrando-nos todo a ele nesta condição, este bom Mestre, em recompensa do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cativeiro por amor a que nos submetemos, tira,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primeiro, à alma todo escrúpulo e temor servil, que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constrangem, escravizam e perturbam;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segundo, alarga o coração por uma santa confiança em Deus, fazendo-o considerá-lo como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Pai; terceiro, inspira-lhe um amor terno e filial.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170. Sem me deter em amontoar razões para provar est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á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verdade, contento-me de citar uma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passagem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histórica que li na vida da Madre Inês de Jesus, religiosa jacobina</w:t>
      </w:r>
      <w:r w:rsidRPr="004621E1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69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do convento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Langeac em Auvergne,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qual morreu em odor de santidade nesse mesmo lugar, em 1634. Não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tinha ela ainda sete anos, quando, uma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ocasião, sofrendo tormentos de espírito, ouviu uma voz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lhe disse que, se ela quisesse livrar-se de todos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os seus sofrimentos e ser protegida contra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todos os seus inimigos, se fizesse quanto antes escrava de Jesus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de sua Mãe Santíssima.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Mal chegou em casa, entregou-se inteiramente a Jesus e Maria, como lhe aconselhara a voz,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embora não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soubesse antes em que consistia est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á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devoção; e, tendo encontrado uma corrente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ferro, cingiu-se com ela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os rins e a usou até à morte. Depois desse ato todas as suas penas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 escrúpulos cessaram, e ela se achou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numa grande paz e bem-estar de coração, e isto a levou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ensinar est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á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devoção a muitas outras pessoas,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fizeram grandes progressos, entre outros,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M. Olier, que instituiu o seminário de São Sulpício, e a muitos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outros padres e eclesiásticos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do mesmo seminário...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Um dia a Santíssima Virgem lhe apareceu e lhe pôs ao pescoço uma cadeia de ouro para lhe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testemunhar 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alegria de tê-la como escrava de seu Filho e sua; e Santa Cecília, que acompanhava a Santíssima Virgem, lhe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disse: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f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elizes os fiéis escravos da Rainha do céu, pois gozarão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da verdadeira liberdade: </w:t>
      </w:r>
      <w:r w:rsidRPr="004621E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t-BR"/>
        </w:rPr>
        <w:t>“tibi servire libertas”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-------------------------------------------------------------------------------------------------------------------------------------------------------------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410745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69 Até a Revolução Francesa os religiosos da Ordem de São Domingos eram chamados jacobinos, do nome da igreja de Saint-Jacques (São Tiago) em Paris, perto da qual a Ordem se estabeleceu.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-----------------------------------------------------------------------------------</w:t>
      </w:r>
    </w:p>
    <w:p w14:paraId="03902B7A" w14:textId="77777777" w:rsidR="00446598" w:rsidRDefault="00446598" w:rsidP="004465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                                                                                        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Artigo VII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 xml:space="preserve">                                                  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Nosso próximo aufere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grandes bens desta devoção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171. Sétimo motivo. O que pode ainda levar-nos a abraçar est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á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devoção são os grandes bens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por ela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receberá nosso próximo. Pois, praticando-a, exercemos para com ela a caridade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uma maneira eminente, já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lhe damos pelas mãos de Maria o que temos de mais caro, isto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é, o valor satisfatório e impetratório 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todas as nossas boas obras, sem excetuar o menor dos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bons pensamentos e o mais leve sofrimento;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consentimos em que tudo que adquirimos, e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havemos de adquirir de satisfações, seja, até à hora 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morte, empregado conforme à vontade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da Santíssima Virgem, à conversão dos pecadores ou à libertação das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almas do purgatório.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Não é isto amar perfeitamente o próximo? Não é este o verdadeiro discípulo de Jesus Cristo,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se reconhece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pela caridade? (Jo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.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13, 35). Não é este o meio de converter os pecadores, sem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temer a vaidade, e de livrar 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almas do purgatório, sem fazer quase nada mais do que aquilo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 que cada um está obrigado em seu estado?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172. Para conhecer a excelência deste motivo, seria preciso conhecer o bem que é converter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um pecador ou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livrar uma alma do purgatório: bem infinito, maior que criar o céu e a terra</w:t>
      </w:r>
      <w:r w:rsidRPr="004621E1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pt-BR"/>
        </w:rPr>
        <w:t>70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pois que é dar a uma alma a posse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 Deus. Mesmo que, por esta prática, não se livrasse mais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que uma alma do purgatório, ou se convertesse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apenas um pecador, não seria isto bastante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para induzir todo homem verdadeiramente caridoso a abraçá-la?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</w:p>
    <w:p w14:paraId="32714CA6" w14:textId="4CE087B0" w:rsidR="000D5494" w:rsidRDefault="00446598" w:rsidP="00446598"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lastRenderedPageBreak/>
        <w:t>É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preciso notar ainda que nossas boas obras, passando pelas mãos de Maria, recebem um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aumento de pureza,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e, por conseguinte, de mérito e de valor satisfatório e impetratório;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isso elas se tornam muito mais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capazes de aliviar os pecadores do purgatório e de converter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os pecadores do que se não passassem pelas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mãos virginais e liberais de Maria.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  <w:t>O pouco que damos pela Santíssima Virgem, sem vontade própria, e por uma desinteressada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caridade, tornar-se, em verdade, bem mais potente para abrandar a cólera de Deus e atrair sua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misericórdia; e há de verificar-se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à hora da morte que uma pessoa fiel a esta prática terá, por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este meio, libertado inúmeras almas do purgatório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e convertido muitos pecadores, conquanto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só tenha feito as ações comuns e ordinárias do seu estado. Que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 xml:space="preserve"> </w:t>
      </w:r>
      <w:r w:rsidRPr="004621E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alegria haverá em seu julgamento! Que glória na eternidade!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br/>
      </w:r>
    </w:p>
    <w:sectPr w:rsidR="000D5494" w:rsidSect="00C660C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98"/>
    <w:rsid w:val="000D5494"/>
    <w:rsid w:val="00446598"/>
    <w:rsid w:val="00C6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74B9"/>
  <w15:chartTrackingRefBased/>
  <w15:docId w15:val="{9949F7A5-2C1B-4726-81C0-7F8E0C27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Carlos Benevides</dc:creator>
  <cp:keywords/>
  <dc:description/>
  <cp:lastModifiedBy>João Carlos Benevides</cp:lastModifiedBy>
  <cp:revision>1</cp:revision>
  <dcterms:created xsi:type="dcterms:W3CDTF">2022-05-18T17:53:00Z</dcterms:created>
  <dcterms:modified xsi:type="dcterms:W3CDTF">2022-05-18T17:54:00Z</dcterms:modified>
</cp:coreProperties>
</file>